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6E" w:rsidRPr="00415F6E" w:rsidRDefault="00415F6E" w:rsidP="00415F6E">
      <w:pPr>
        <w:spacing w:before="100" w:beforeAutospacing="1" w:after="240" w:line="240" w:lineRule="auto"/>
        <w:jc w:val="both"/>
        <w:rPr>
          <w:rFonts w:eastAsia="Times New Roman" w:cstheme="minorHAnsi"/>
          <w:color w:val="333333"/>
          <w:u w:val="single"/>
          <w:lang w:eastAsia="es-CL"/>
        </w:rPr>
      </w:pPr>
      <w:r w:rsidRPr="00415F6E">
        <w:rPr>
          <w:rFonts w:eastAsia="Times New Roman" w:cstheme="minorHAnsi"/>
          <w:color w:val="333333"/>
          <w:u w:val="single"/>
          <w:lang w:eastAsia="es-CL"/>
        </w:rPr>
        <w:t>MEDICAMENTOS DE MARCA, GENERICOS Y BIOEQUIVALENTES</w:t>
      </w:r>
    </w:p>
    <w:p w:rsidR="00415F6E" w:rsidRDefault="00415F6E" w:rsidP="00415F6E">
      <w:pPr>
        <w:spacing w:before="100" w:beforeAutospacing="1" w:after="240" w:line="240" w:lineRule="auto"/>
        <w:jc w:val="both"/>
        <w:rPr>
          <w:rFonts w:eastAsia="Times New Roman" w:cstheme="minorHAnsi"/>
          <w:color w:val="333333"/>
          <w:lang w:eastAsia="es-CL"/>
        </w:rPr>
      </w:pPr>
    </w:p>
    <w:p w:rsidR="00415F6E" w:rsidRDefault="00415F6E" w:rsidP="00415F6E">
      <w:pPr>
        <w:spacing w:before="100" w:beforeAutospacing="1" w:after="240" w:line="240" w:lineRule="auto"/>
        <w:jc w:val="both"/>
        <w:rPr>
          <w:rFonts w:eastAsia="Times New Roman" w:cstheme="minorHAnsi"/>
          <w:color w:val="333333"/>
          <w:lang w:eastAsia="es-CL"/>
        </w:rPr>
      </w:pPr>
      <w:r w:rsidRPr="00415F6E">
        <w:rPr>
          <w:rFonts w:eastAsia="Times New Roman" w:cstheme="minorHAnsi"/>
          <w:color w:val="333333"/>
          <w:lang w:eastAsia="es-CL"/>
        </w:rPr>
        <w:t xml:space="preserve">Un </w:t>
      </w:r>
      <w:r w:rsidRPr="00F65F98">
        <w:rPr>
          <w:rFonts w:eastAsia="Times New Roman" w:cstheme="minorHAnsi"/>
          <w:b/>
          <w:color w:val="0066CC"/>
          <w:lang w:eastAsia="es-CL"/>
        </w:rPr>
        <w:t>medicamento de marca</w:t>
      </w:r>
      <w:r w:rsidRPr="00415F6E">
        <w:rPr>
          <w:rFonts w:eastAsia="Times New Roman" w:cstheme="minorHAnsi"/>
          <w:color w:val="333333"/>
          <w:lang w:eastAsia="es-CL"/>
        </w:rPr>
        <w:t xml:space="preserve"> es aquel que es trabajado bajo un nombre comercial </w:t>
      </w:r>
      <w:proofErr w:type="gramStart"/>
      <w:r w:rsidRPr="00415F6E">
        <w:rPr>
          <w:rFonts w:eastAsia="Times New Roman" w:cstheme="minorHAnsi"/>
          <w:color w:val="333333"/>
          <w:lang w:eastAsia="es-CL"/>
        </w:rPr>
        <w:t>especifico</w:t>
      </w:r>
      <w:proofErr w:type="gramEnd"/>
      <w:r w:rsidRPr="00415F6E">
        <w:rPr>
          <w:rFonts w:eastAsia="Times New Roman" w:cstheme="minorHAnsi"/>
          <w:color w:val="333333"/>
          <w:lang w:eastAsia="es-CL"/>
        </w:rPr>
        <w:t>, pues ha sido registrado por un laboratorio que ha invertido recursos en la fase de investigación y desarrollo de la molécula, para lo cual habrá patentado el fármaco, lo que le permite tener la exclusividad sobre el comercio de este</w:t>
      </w:r>
      <w:r w:rsidR="00F65F98">
        <w:rPr>
          <w:rFonts w:eastAsia="Times New Roman" w:cstheme="minorHAnsi"/>
          <w:color w:val="333333"/>
          <w:lang w:eastAsia="es-CL"/>
        </w:rPr>
        <w:t>.</w:t>
      </w:r>
      <w:r w:rsidRPr="00415F6E">
        <w:rPr>
          <w:rFonts w:eastAsia="Times New Roman" w:cstheme="minorHAnsi"/>
          <w:color w:val="333333"/>
          <w:lang w:eastAsia="es-CL"/>
        </w:rPr>
        <w:t xml:space="preserve"> </w:t>
      </w:r>
    </w:p>
    <w:p w:rsidR="00415F6E" w:rsidRPr="00415F6E" w:rsidRDefault="00415F6E" w:rsidP="00415F6E">
      <w:pPr>
        <w:spacing w:before="100" w:beforeAutospacing="1" w:after="240" w:line="240" w:lineRule="auto"/>
        <w:jc w:val="both"/>
        <w:rPr>
          <w:rFonts w:eastAsia="Times New Roman" w:cstheme="minorHAnsi"/>
          <w:color w:val="333333"/>
          <w:lang w:eastAsia="es-CL"/>
        </w:rPr>
      </w:pPr>
      <w:r w:rsidRPr="00415F6E">
        <w:rPr>
          <w:rFonts w:eastAsia="Times New Roman" w:cstheme="minorHAnsi"/>
          <w:color w:val="333333"/>
          <w:lang w:eastAsia="es-CL"/>
        </w:rPr>
        <w:t>Para que un nuevo medicamento sea sacado al mercado debe pasar por una serie de etapas de desarrollo donde se determinan además de su eficacia, eficiencia y seguridad como molécula; la dosificación, la mejor forma de fabricación, el vehículo ideal (otras sustancias con las que se mezcla el fármaco para ayudar de diversas formas con su administración, absorción, etc...), las condiciones de conservación y transporte, su empaque, etc.</w:t>
      </w:r>
    </w:p>
    <w:p w:rsidR="00415F6E" w:rsidRPr="00415F6E" w:rsidRDefault="00F65F98" w:rsidP="00415F6E">
      <w:pPr>
        <w:spacing w:before="100" w:beforeAutospacing="1" w:after="240" w:line="240" w:lineRule="auto"/>
        <w:jc w:val="both"/>
        <w:rPr>
          <w:rFonts w:eastAsia="Times New Roman" w:cstheme="minorHAnsi"/>
          <w:color w:val="333333"/>
          <w:lang w:eastAsia="es-CL"/>
        </w:rPr>
      </w:pPr>
      <w:r>
        <w:rPr>
          <w:rFonts w:eastAsia="Times New Roman" w:cstheme="minorHAnsi"/>
          <w:color w:val="333333"/>
          <w:lang w:eastAsia="es-CL"/>
        </w:rPr>
        <w:t xml:space="preserve">Un </w:t>
      </w:r>
      <w:r w:rsidRPr="00F65F98">
        <w:rPr>
          <w:rFonts w:eastAsia="Times New Roman" w:cstheme="minorHAnsi"/>
          <w:b/>
          <w:color w:val="0066CC"/>
          <w:lang w:eastAsia="es-CL"/>
        </w:rPr>
        <w:t>medicamento g</w:t>
      </w:r>
      <w:r w:rsidR="00415F6E" w:rsidRPr="00F65F98">
        <w:rPr>
          <w:rFonts w:eastAsia="Times New Roman" w:cstheme="minorHAnsi"/>
          <w:b/>
          <w:color w:val="0066CC"/>
          <w:lang w:eastAsia="es-CL"/>
        </w:rPr>
        <w:t>enérico</w:t>
      </w:r>
      <w:r>
        <w:rPr>
          <w:rFonts w:eastAsia="Times New Roman" w:cstheme="minorHAnsi"/>
          <w:color w:val="333333"/>
          <w:lang w:eastAsia="es-CL"/>
        </w:rPr>
        <w:t xml:space="preserve"> contiene</w:t>
      </w:r>
      <w:r w:rsidR="00415F6E" w:rsidRPr="00415F6E">
        <w:rPr>
          <w:rFonts w:eastAsia="Times New Roman" w:cstheme="minorHAnsi"/>
          <w:color w:val="333333"/>
          <w:lang w:eastAsia="es-CL"/>
        </w:rPr>
        <w:t xml:space="preserve"> los mismos componentes activos en la misma dosificación que un medicamento de marca y </w:t>
      </w:r>
      <w:r>
        <w:rPr>
          <w:rFonts w:eastAsia="Times New Roman" w:cstheme="minorHAnsi"/>
          <w:color w:val="333333"/>
          <w:lang w:eastAsia="es-CL"/>
        </w:rPr>
        <w:t>debiera</w:t>
      </w:r>
      <w:r w:rsidR="00415F6E" w:rsidRPr="00415F6E">
        <w:rPr>
          <w:rFonts w:eastAsia="Times New Roman" w:cstheme="minorHAnsi"/>
          <w:color w:val="333333"/>
          <w:lang w:eastAsia="es-CL"/>
        </w:rPr>
        <w:t xml:space="preserve"> también poseer </w:t>
      </w:r>
      <w:r>
        <w:rPr>
          <w:rFonts w:eastAsia="Times New Roman" w:cstheme="minorHAnsi"/>
          <w:color w:val="333333"/>
          <w:lang w:eastAsia="es-CL"/>
        </w:rPr>
        <w:t>similares s</w:t>
      </w:r>
      <w:r w:rsidR="00415F6E" w:rsidRPr="00415F6E">
        <w:rPr>
          <w:rFonts w:eastAsia="Times New Roman" w:cstheme="minorHAnsi"/>
          <w:color w:val="333333"/>
          <w:lang w:eastAsia="es-CL"/>
        </w:rPr>
        <w:t xml:space="preserve">ustancias no activas, que aunque no le confieren al fármaco un efecto clínico determinado (farmacodinamia), si pueden interferir en otros procesos </w:t>
      </w:r>
      <w:r>
        <w:rPr>
          <w:rFonts w:eastAsia="Times New Roman" w:cstheme="minorHAnsi"/>
          <w:color w:val="333333"/>
          <w:lang w:eastAsia="es-CL"/>
        </w:rPr>
        <w:t xml:space="preserve">como </w:t>
      </w:r>
      <w:r w:rsidR="00415F6E" w:rsidRPr="00415F6E">
        <w:rPr>
          <w:rFonts w:eastAsia="Times New Roman" w:cstheme="minorHAnsi"/>
          <w:color w:val="333333"/>
          <w:lang w:eastAsia="es-CL"/>
        </w:rPr>
        <w:t xml:space="preserve">en el paso de la sustancia a través del organismo (farmacocinética). La pureza de los medicamentos genéricos por lo tanto, debe ser estrictamente regulada (al menos de igual forma que los de marca), demostrando que tendrán el mismo efecto (en todo sentido), con un mismo perfil </w:t>
      </w:r>
      <w:proofErr w:type="spellStart"/>
      <w:r w:rsidR="00415F6E" w:rsidRPr="00415F6E">
        <w:rPr>
          <w:rFonts w:eastAsia="Times New Roman" w:cstheme="minorHAnsi"/>
          <w:color w:val="333333"/>
          <w:lang w:eastAsia="es-CL"/>
        </w:rPr>
        <w:t>farmacocinético</w:t>
      </w:r>
      <w:proofErr w:type="spellEnd"/>
      <w:r w:rsidR="00415F6E" w:rsidRPr="00415F6E">
        <w:rPr>
          <w:rFonts w:eastAsia="Times New Roman" w:cstheme="minorHAnsi"/>
          <w:color w:val="333333"/>
          <w:lang w:eastAsia="es-CL"/>
        </w:rPr>
        <w:t xml:space="preserve"> y </w:t>
      </w:r>
      <w:proofErr w:type="spellStart"/>
      <w:r w:rsidR="00415F6E" w:rsidRPr="00415F6E">
        <w:rPr>
          <w:rFonts w:eastAsia="Times New Roman" w:cstheme="minorHAnsi"/>
          <w:color w:val="333333"/>
          <w:lang w:eastAsia="es-CL"/>
        </w:rPr>
        <w:t>farmacodinámico</w:t>
      </w:r>
      <w:proofErr w:type="spellEnd"/>
      <w:r w:rsidR="00415F6E" w:rsidRPr="00415F6E">
        <w:rPr>
          <w:rFonts w:eastAsia="Times New Roman" w:cstheme="minorHAnsi"/>
          <w:color w:val="333333"/>
          <w:lang w:eastAsia="es-CL"/>
        </w:rPr>
        <w:t xml:space="preserve"> que su equivalente de Marca. Los medicamentos genéricos deben tratar la enfermedad con la misma eficacia y seguridad que sus equivalentes de marca. Los fármacos genéricos deberían tener las mismas exigencias rigurosas que los de marca, para su elaboración, distribución y venta.</w:t>
      </w:r>
    </w:p>
    <w:p w:rsidR="00415F6E" w:rsidRPr="00415F6E" w:rsidRDefault="00415F6E" w:rsidP="00415F6E">
      <w:pPr>
        <w:spacing w:before="100" w:beforeAutospacing="1" w:after="240" w:line="240" w:lineRule="auto"/>
        <w:jc w:val="both"/>
        <w:rPr>
          <w:rFonts w:eastAsia="Times New Roman" w:cstheme="minorHAnsi"/>
          <w:color w:val="333333"/>
          <w:lang w:eastAsia="es-CL"/>
        </w:rPr>
      </w:pPr>
      <w:r w:rsidRPr="00415F6E">
        <w:rPr>
          <w:rFonts w:eastAsia="Times New Roman" w:cstheme="minorHAnsi"/>
          <w:color w:val="333333"/>
          <w:lang w:eastAsia="es-CL"/>
        </w:rPr>
        <w:t>Ya que las empresas que producen medicamentos genéricos no han necesitado invertir en la investigación y desarrollo de la molécula, tienen la posibilidad de abordar el mercado ofreciendo su producto c</w:t>
      </w:r>
      <w:r w:rsidR="00F65F98">
        <w:rPr>
          <w:rFonts w:eastAsia="Times New Roman" w:cstheme="minorHAnsi"/>
          <w:color w:val="333333"/>
          <w:lang w:eastAsia="es-CL"/>
        </w:rPr>
        <w:t xml:space="preserve">on precios inferiores a los del </w:t>
      </w:r>
      <w:r w:rsidRPr="00415F6E">
        <w:rPr>
          <w:rFonts w:eastAsia="Times New Roman" w:cstheme="minorHAnsi"/>
          <w:color w:val="333333"/>
          <w:lang w:eastAsia="es-CL"/>
        </w:rPr>
        <w:t>medicamento original.</w:t>
      </w:r>
    </w:p>
    <w:p w:rsidR="00F65F98" w:rsidRDefault="00F65F98" w:rsidP="00415F6E">
      <w:pPr>
        <w:pStyle w:val="NormalWeb"/>
        <w:shd w:val="clear" w:color="auto" w:fill="FFFFFF"/>
        <w:jc w:val="both"/>
        <w:rPr>
          <w:rFonts w:asciiTheme="minorHAnsi" w:hAnsiTheme="minorHAnsi" w:cstheme="minorHAnsi"/>
          <w:color w:val="333333"/>
          <w:sz w:val="22"/>
          <w:szCs w:val="22"/>
        </w:rPr>
      </w:pPr>
      <w:bookmarkStart w:id="0" w:name="1"/>
      <w:bookmarkEnd w:id="0"/>
    </w:p>
    <w:p w:rsidR="00415F6E" w:rsidRPr="00415F6E" w:rsidRDefault="00F65F98" w:rsidP="00415F6E">
      <w:pPr>
        <w:pStyle w:val="NormalWeb"/>
        <w:shd w:val="clear" w:color="auto" w:fill="FFFFFF"/>
        <w:jc w:val="both"/>
        <w:rPr>
          <w:rFonts w:asciiTheme="minorHAnsi" w:hAnsiTheme="minorHAnsi" w:cstheme="minorHAnsi"/>
          <w:color w:val="333333"/>
          <w:sz w:val="22"/>
          <w:szCs w:val="22"/>
        </w:rPr>
      </w:pPr>
      <w:r w:rsidRPr="00F65F98">
        <w:rPr>
          <w:rFonts w:asciiTheme="minorHAnsi" w:hAnsiTheme="minorHAnsi" w:cstheme="minorHAnsi"/>
          <w:b/>
          <w:color w:val="0066CC"/>
          <w:sz w:val="22"/>
          <w:szCs w:val="22"/>
        </w:rPr>
        <w:t xml:space="preserve">Medicamentos </w:t>
      </w:r>
      <w:proofErr w:type="spellStart"/>
      <w:r w:rsidRPr="00F65F98">
        <w:rPr>
          <w:rFonts w:asciiTheme="minorHAnsi" w:hAnsiTheme="minorHAnsi" w:cstheme="minorHAnsi"/>
          <w:b/>
          <w:color w:val="0066CC"/>
          <w:sz w:val="22"/>
          <w:szCs w:val="22"/>
        </w:rPr>
        <w:t>bioequivalentes</w:t>
      </w:r>
      <w:proofErr w:type="spellEnd"/>
      <w:r>
        <w:rPr>
          <w:rFonts w:asciiTheme="minorHAnsi" w:hAnsiTheme="minorHAnsi" w:cstheme="minorHAnsi"/>
          <w:color w:val="333333"/>
          <w:sz w:val="22"/>
          <w:szCs w:val="22"/>
        </w:rPr>
        <w:t xml:space="preserve">: </w:t>
      </w:r>
      <w:r w:rsidR="00415F6E" w:rsidRPr="00415F6E">
        <w:rPr>
          <w:rFonts w:asciiTheme="minorHAnsi" w:hAnsiTheme="minorHAnsi" w:cstheme="minorHAnsi"/>
          <w:color w:val="333333"/>
          <w:sz w:val="22"/>
          <w:szCs w:val="22"/>
        </w:rPr>
        <w:t xml:space="preserve">¿Qué es la </w:t>
      </w:r>
      <w:proofErr w:type="spellStart"/>
      <w:r w:rsidR="00415F6E" w:rsidRPr="00415F6E">
        <w:rPr>
          <w:rFonts w:asciiTheme="minorHAnsi" w:hAnsiTheme="minorHAnsi" w:cstheme="minorHAnsi"/>
          <w:color w:val="333333"/>
          <w:sz w:val="22"/>
          <w:szCs w:val="22"/>
        </w:rPr>
        <w:t>Bioequivalencia</w:t>
      </w:r>
      <w:proofErr w:type="spellEnd"/>
      <w:r w:rsidR="00415F6E" w:rsidRPr="00415F6E">
        <w:rPr>
          <w:rFonts w:asciiTheme="minorHAnsi" w:hAnsiTheme="minorHAnsi" w:cstheme="minorHAnsi"/>
          <w:color w:val="333333"/>
          <w:sz w:val="22"/>
          <w:szCs w:val="22"/>
        </w:rPr>
        <w:t>?</w:t>
      </w:r>
    </w:p>
    <w:p w:rsidR="00415F6E" w:rsidRPr="00415F6E" w:rsidRDefault="00415F6E" w:rsidP="00415F6E">
      <w:pPr>
        <w:pStyle w:val="NormalWeb"/>
        <w:shd w:val="clear" w:color="auto" w:fill="FFFFFF"/>
        <w:jc w:val="both"/>
        <w:rPr>
          <w:rFonts w:asciiTheme="minorHAnsi" w:hAnsiTheme="minorHAnsi" w:cstheme="minorHAnsi"/>
          <w:color w:val="333333"/>
          <w:sz w:val="22"/>
          <w:szCs w:val="22"/>
        </w:rPr>
      </w:pPr>
      <w:r w:rsidRPr="00415F6E">
        <w:rPr>
          <w:rFonts w:asciiTheme="minorHAnsi" w:hAnsiTheme="minorHAnsi" w:cstheme="minorHAnsi"/>
          <w:color w:val="333333"/>
          <w:sz w:val="22"/>
          <w:szCs w:val="22"/>
        </w:rPr>
        <w:t xml:space="preserve">La </w:t>
      </w:r>
      <w:proofErr w:type="spellStart"/>
      <w:r w:rsidRPr="00415F6E">
        <w:rPr>
          <w:rFonts w:asciiTheme="minorHAnsi" w:hAnsiTheme="minorHAnsi" w:cstheme="minorHAnsi"/>
          <w:color w:val="333333"/>
          <w:sz w:val="22"/>
          <w:szCs w:val="22"/>
        </w:rPr>
        <w:t>bioequivalencia</w:t>
      </w:r>
      <w:proofErr w:type="spellEnd"/>
      <w:r w:rsidRPr="00415F6E">
        <w:rPr>
          <w:rFonts w:asciiTheme="minorHAnsi" w:hAnsiTheme="minorHAnsi" w:cstheme="minorHAnsi"/>
          <w:color w:val="333333"/>
          <w:sz w:val="22"/>
          <w:szCs w:val="22"/>
        </w:rPr>
        <w:t xml:space="preserve"> es un atributo de un medicamento respecto de un referente, en donde ambos poseen diferentes orígenes de fabricación, contienen igual principio activo y cantidad y son similares en cantidad y velocidad de fármaco absorbido, al ser administrados por la vía oral, dentro de límites razonables, establecidos por procedimientos estadísticos.</w:t>
      </w:r>
    </w:p>
    <w:p w:rsidR="00415F6E" w:rsidRPr="00415F6E" w:rsidRDefault="00415F6E" w:rsidP="00415F6E">
      <w:pPr>
        <w:pStyle w:val="NormalWeb"/>
        <w:shd w:val="clear" w:color="auto" w:fill="FFFFFF"/>
        <w:jc w:val="both"/>
        <w:rPr>
          <w:rFonts w:asciiTheme="minorHAnsi" w:hAnsiTheme="minorHAnsi" w:cstheme="minorHAnsi"/>
          <w:color w:val="333333"/>
          <w:sz w:val="22"/>
          <w:szCs w:val="22"/>
        </w:rPr>
      </w:pPr>
      <w:bookmarkStart w:id="1" w:name="2"/>
      <w:bookmarkEnd w:id="1"/>
      <w:r w:rsidRPr="00415F6E">
        <w:rPr>
          <w:rFonts w:asciiTheme="minorHAnsi" w:hAnsiTheme="minorHAnsi" w:cstheme="minorHAnsi"/>
          <w:color w:val="333333"/>
          <w:sz w:val="22"/>
          <w:szCs w:val="22"/>
        </w:rPr>
        <w:t xml:space="preserve">Objetivo de la </w:t>
      </w:r>
      <w:proofErr w:type="spellStart"/>
      <w:r w:rsidRPr="00415F6E">
        <w:rPr>
          <w:rFonts w:asciiTheme="minorHAnsi" w:hAnsiTheme="minorHAnsi" w:cstheme="minorHAnsi"/>
          <w:color w:val="333333"/>
          <w:sz w:val="22"/>
          <w:szCs w:val="22"/>
        </w:rPr>
        <w:t>Bioequivalencia</w:t>
      </w:r>
      <w:proofErr w:type="spellEnd"/>
      <w:r w:rsidR="00F65F98">
        <w:rPr>
          <w:rFonts w:asciiTheme="minorHAnsi" w:hAnsiTheme="minorHAnsi" w:cstheme="minorHAnsi"/>
          <w:color w:val="333333"/>
          <w:sz w:val="22"/>
          <w:szCs w:val="22"/>
        </w:rPr>
        <w:t xml:space="preserve">: </w:t>
      </w:r>
      <w:r w:rsidRPr="00415F6E">
        <w:rPr>
          <w:rFonts w:asciiTheme="minorHAnsi" w:hAnsiTheme="minorHAnsi" w:cstheme="minorHAnsi"/>
          <w:color w:val="333333"/>
          <w:sz w:val="22"/>
          <w:szCs w:val="22"/>
        </w:rPr>
        <w:t xml:space="preserve">El propósito de la </w:t>
      </w:r>
      <w:proofErr w:type="spellStart"/>
      <w:r w:rsidRPr="00415F6E">
        <w:rPr>
          <w:rFonts w:asciiTheme="minorHAnsi" w:hAnsiTheme="minorHAnsi" w:cstheme="minorHAnsi"/>
          <w:color w:val="333333"/>
          <w:sz w:val="22"/>
          <w:szCs w:val="22"/>
        </w:rPr>
        <w:t>bioequivalencia</w:t>
      </w:r>
      <w:proofErr w:type="spellEnd"/>
      <w:r w:rsidRPr="00415F6E">
        <w:rPr>
          <w:rFonts w:asciiTheme="minorHAnsi" w:hAnsiTheme="minorHAnsi" w:cstheme="minorHAnsi"/>
          <w:color w:val="333333"/>
          <w:sz w:val="22"/>
          <w:szCs w:val="22"/>
        </w:rPr>
        <w:t xml:space="preserve"> es demostrar que dos medicamentos que contengan el mismo fármaco en la misma dosis, son equivalentes en términos de calidad, eficacia y seguridad en el paciente receptor.</w:t>
      </w:r>
    </w:p>
    <w:p w:rsidR="00415F6E" w:rsidRPr="00415F6E" w:rsidRDefault="00F65F98" w:rsidP="00415F6E">
      <w:pPr>
        <w:pStyle w:val="NormalWeb"/>
        <w:shd w:val="clear" w:color="auto" w:fill="FFFFFF"/>
        <w:jc w:val="both"/>
        <w:rPr>
          <w:rFonts w:asciiTheme="minorHAnsi" w:hAnsiTheme="minorHAnsi" w:cstheme="minorHAnsi"/>
          <w:color w:val="333333"/>
          <w:sz w:val="22"/>
          <w:szCs w:val="22"/>
        </w:rPr>
      </w:pPr>
      <w:bookmarkStart w:id="2" w:name="4"/>
      <w:bookmarkEnd w:id="2"/>
      <w:r>
        <w:rPr>
          <w:rFonts w:asciiTheme="minorHAnsi" w:hAnsiTheme="minorHAnsi" w:cstheme="minorHAnsi"/>
          <w:color w:val="333333"/>
          <w:sz w:val="22"/>
          <w:szCs w:val="22"/>
        </w:rPr>
        <w:t xml:space="preserve">En Chile los medicamentos </w:t>
      </w:r>
      <w:proofErr w:type="spellStart"/>
      <w:r>
        <w:rPr>
          <w:rFonts w:asciiTheme="minorHAnsi" w:hAnsiTheme="minorHAnsi" w:cstheme="minorHAnsi"/>
          <w:color w:val="333333"/>
          <w:sz w:val="22"/>
          <w:szCs w:val="22"/>
        </w:rPr>
        <w:t>bioequivalentes</w:t>
      </w:r>
      <w:proofErr w:type="spellEnd"/>
      <w:r>
        <w:rPr>
          <w:rFonts w:asciiTheme="minorHAnsi" w:hAnsiTheme="minorHAnsi" w:cstheme="minorHAnsi"/>
          <w:color w:val="333333"/>
          <w:sz w:val="22"/>
          <w:szCs w:val="22"/>
        </w:rPr>
        <w:t xml:space="preserve"> deberán rotularse, según el </w:t>
      </w:r>
      <w:proofErr w:type="spellStart"/>
      <w:r>
        <w:rPr>
          <w:rFonts w:asciiTheme="minorHAnsi" w:hAnsiTheme="minorHAnsi" w:cstheme="minorHAnsi"/>
          <w:color w:val="333333"/>
          <w:sz w:val="22"/>
          <w:szCs w:val="22"/>
        </w:rPr>
        <w:t>siguente</w:t>
      </w:r>
      <w:proofErr w:type="spellEnd"/>
      <w:r>
        <w:rPr>
          <w:rFonts w:asciiTheme="minorHAnsi" w:hAnsiTheme="minorHAnsi" w:cstheme="minorHAnsi"/>
          <w:color w:val="333333"/>
          <w:sz w:val="22"/>
          <w:szCs w:val="22"/>
        </w:rPr>
        <w:t xml:space="preserve"> logo para que sean claramente distinguibles al público.</w:t>
      </w:r>
    </w:p>
    <w:p w:rsidR="00415F6E" w:rsidRPr="00415F6E" w:rsidRDefault="00415F6E" w:rsidP="00415F6E">
      <w:pPr>
        <w:pStyle w:val="NormalWeb"/>
        <w:shd w:val="clear" w:color="auto" w:fill="FFFFFF"/>
        <w:jc w:val="both"/>
        <w:rPr>
          <w:rFonts w:asciiTheme="minorHAnsi" w:hAnsiTheme="minorHAnsi" w:cstheme="minorHAnsi"/>
          <w:color w:val="333333"/>
          <w:sz w:val="22"/>
          <w:szCs w:val="22"/>
        </w:rPr>
      </w:pPr>
      <w:r w:rsidRPr="00415F6E">
        <w:rPr>
          <w:rFonts w:asciiTheme="minorHAnsi" w:hAnsiTheme="minorHAnsi" w:cstheme="minorHAnsi"/>
          <w:noProof/>
          <w:color w:val="333333"/>
          <w:sz w:val="22"/>
          <w:szCs w:val="22"/>
        </w:rPr>
        <w:drawing>
          <wp:inline distT="0" distB="0" distL="0" distR="0" wp14:anchorId="7AF42DF5" wp14:editId="0493F948">
            <wp:extent cx="1423358" cy="465447"/>
            <wp:effectExtent l="0" t="0" r="5715" b="0"/>
            <wp:docPr id="3" name="Imagen 3" descr="http://www.ispch.cl/sites/default/files/logo_bioequival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pch.cl/sites/default/files/logo_bioequivalenci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3358" cy="465447"/>
                    </a:xfrm>
                    <a:prstGeom prst="rect">
                      <a:avLst/>
                    </a:prstGeom>
                    <a:noFill/>
                    <a:ln>
                      <a:noFill/>
                    </a:ln>
                  </pic:spPr>
                </pic:pic>
              </a:graphicData>
            </a:graphic>
          </wp:inline>
        </w:drawing>
      </w:r>
    </w:p>
    <w:p w:rsidR="00415F6E" w:rsidRPr="00415F6E" w:rsidRDefault="00415F6E" w:rsidP="00415F6E">
      <w:pPr>
        <w:pStyle w:val="NormalWeb"/>
        <w:shd w:val="clear" w:color="auto" w:fill="FFFFFF"/>
        <w:jc w:val="both"/>
        <w:rPr>
          <w:rFonts w:asciiTheme="minorHAnsi" w:hAnsiTheme="minorHAnsi" w:cstheme="minorHAnsi"/>
          <w:color w:val="333333"/>
          <w:sz w:val="22"/>
          <w:szCs w:val="22"/>
        </w:rPr>
      </w:pPr>
      <w:bookmarkStart w:id="3" w:name="_GoBack"/>
      <w:r w:rsidRPr="00415F6E">
        <w:rPr>
          <w:rFonts w:asciiTheme="minorHAnsi" w:hAnsiTheme="minorHAnsi" w:cstheme="minorHAnsi"/>
          <w:noProof/>
          <w:color w:val="333333"/>
          <w:sz w:val="22"/>
          <w:szCs w:val="22"/>
        </w:rPr>
        <w:lastRenderedPageBreak/>
        <w:drawing>
          <wp:inline distT="0" distB="0" distL="0" distR="0" wp14:anchorId="3BCEFA93" wp14:editId="0E6FB4D1">
            <wp:extent cx="6573520" cy="3355975"/>
            <wp:effectExtent l="0" t="0" r="0" b="0"/>
            <wp:docPr id="2" name="Imagen 2" descr="Isologos Bioequi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ologos Bioequivalenc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3520" cy="3355975"/>
                    </a:xfrm>
                    <a:prstGeom prst="rect">
                      <a:avLst/>
                    </a:prstGeom>
                    <a:noFill/>
                    <a:ln>
                      <a:noFill/>
                    </a:ln>
                  </pic:spPr>
                </pic:pic>
              </a:graphicData>
            </a:graphic>
          </wp:inline>
        </w:drawing>
      </w:r>
      <w:bookmarkEnd w:id="3"/>
    </w:p>
    <w:p w:rsidR="009E563E" w:rsidRPr="00415F6E" w:rsidRDefault="009E563E" w:rsidP="00415F6E">
      <w:pPr>
        <w:spacing w:line="240" w:lineRule="auto"/>
        <w:jc w:val="both"/>
        <w:rPr>
          <w:rFonts w:cstheme="minorHAnsi"/>
        </w:rPr>
      </w:pPr>
    </w:p>
    <w:sectPr w:rsidR="009E563E" w:rsidRPr="00415F6E" w:rsidSect="00415F6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F6E"/>
    <w:rsid w:val="00415F6E"/>
    <w:rsid w:val="004636B2"/>
    <w:rsid w:val="009E563E"/>
    <w:rsid w:val="00F65F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15F6E"/>
    <w:pPr>
      <w:spacing w:after="360"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415F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5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15F6E"/>
    <w:pPr>
      <w:spacing w:after="360"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415F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5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75753">
      <w:bodyDiv w:val="1"/>
      <w:marLeft w:val="0"/>
      <w:marRight w:val="0"/>
      <w:marTop w:val="0"/>
      <w:marBottom w:val="0"/>
      <w:divBdr>
        <w:top w:val="none" w:sz="0" w:space="0" w:color="auto"/>
        <w:left w:val="none" w:sz="0" w:space="0" w:color="auto"/>
        <w:bottom w:val="none" w:sz="0" w:space="0" w:color="auto"/>
        <w:right w:val="none" w:sz="0" w:space="0" w:color="auto"/>
      </w:divBdr>
      <w:divsChild>
        <w:div w:id="1447045754">
          <w:marLeft w:val="0"/>
          <w:marRight w:val="0"/>
          <w:marTop w:val="0"/>
          <w:marBottom w:val="0"/>
          <w:divBdr>
            <w:top w:val="none" w:sz="0" w:space="0" w:color="auto"/>
            <w:left w:val="none" w:sz="0" w:space="0" w:color="auto"/>
            <w:bottom w:val="none" w:sz="0" w:space="0" w:color="auto"/>
            <w:right w:val="none" w:sz="0" w:space="0" w:color="auto"/>
          </w:divBdr>
          <w:divsChild>
            <w:div w:id="1590499465">
              <w:marLeft w:val="0"/>
              <w:marRight w:val="0"/>
              <w:marTop w:val="0"/>
              <w:marBottom w:val="0"/>
              <w:divBdr>
                <w:top w:val="none" w:sz="0" w:space="0" w:color="auto"/>
                <w:left w:val="none" w:sz="0" w:space="0" w:color="auto"/>
                <w:bottom w:val="none" w:sz="0" w:space="0" w:color="auto"/>
                <w:right w:val="none" w:sz="0" w:space="0" w:color="auto"/>
              </w:divBdr>
              <w:divsChild>
                <w:div w:id="1481847050">
                  <w:marLeft w:val="0"/>
                  <w:marRight w:val="0"/>
                  <w:marTop w:val="0"/>
                  <w:marBottom w:val="0"/>
                  <w:divBdr>
                    <w:top w:val="none" w:sz="0" w:space="0" w:color="auto"/>
                    <w:left w:val="none" w:sz="0" w:space="0" w:color="auto"/>
                    <w:bottom w:val="none" w:sz="0" w:space="0" w:color="auto"/>
                    <w:right w:val="none" w:sz="0" w:space="0" w:color="auto"/>
                  </w:divBdr>
                  <w:divsChild>
                    <w:div w:id="1850365076">
                      <w:marLeft w:val="0"/>
                      <w:marRight w:val="0"/>
                      <w:marTop w:val="0"/>
                      <w:marBottom w:val="0"/>
                      <w:divBdr>
                        <w:top w:val="none" w:sz="0" w:space="0" w:color="auto"/>
                        <w:left w:val="none" w:sz="0" w:space="0" w:color="auto"/>
                        <w:bottom w:val="none" w:sz="0" w:space="0" w:color="auto"/>
                        <w:right w:val="none" w:sz="0" w:space="0" w:color="auto"/>
                      </w:divBdr>
                      <w:divsChild>
                        <w:div w:id="1321538968">
                          <w:marLeft w:val="0"/>
                          <w:marRight w:val="0"/>
                          <w:marTop w:val="0"/>
                          <w:marBottom w:val="0"/>
                          <w:divBdr>
                            <w:top w:val="none" w:sz="0" w:space="0" w:color="auto"/>
                            <w:left w:val="none" w:sz="0" w:space="0" w:color="auto"/>
                            <w:bottom w:val="none" w:sz="0" w:space="0" w:color="auto"/>
                            <w:right w:val="none" w:sz="0" w:space="0" w:color="auto"/>
                          </w:divBdr>
                          <w:divsChild>
                            <w:div w:id="7787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434476">
      <w:bodyDiv w:val="1"/>
      <w:marLeft w:val="0"/>
      <w:marRight w:val="0"/>
      <w:marTop w:val="0"/>
      <w:marBottom w:val="0"/>
      <w:divBdr>
        <w:top w:val="none" w:sz="0" w:space="0" w:color="auto"/>
        <w:left w:val="none" w:sz="0" w:space="0" w:color="auto"/>
        <w:bottom w:val="none" w:sz="0" w:space="0" w:color="auto"/>
        <w:right w:val="none" w:sz="0" w:space="0" w:color="auto"/>
      </w:divBdr>
      <w:divsChild>
        <w:div w:id="1716655547">
          <w:marLeft w:val="0"/>
          <w:marRight w:val="0"/>
          <w:marTop w:val="1950"/>
          <w:marBottom w:val="0"/>
          <w:divBdr>
            <w:top w:val="none" w:sz="0" w:space="0" w:color="auto"/>
            <w:left w:val="none" w:sz="0" w:space="0" w:color="auto"/>
            <w:bottom w:val="none" w:sz="0" w:space="0" w:color="auto"/>
            <w:right w:val="none" w:sz="0" w:space="0" w:color="auto"/>
          </w:divBdr>
          <w:divsChild>
            <w:div w:id="2047102480">
              <w:marLeft w:val="0"/>
              <w:marRight w:val="0"/>
              <w:marTop w:val="480"/>
              <w:marBottom w:val="480"/>
              <w:divBdr>
                <w:top w:val="none" w:sz="0" w:space="0" w:color="auto"/>
                <w:left w:val="none" w:sz="0" w:space="0" w:color="auto"/>
                <w:bottom w:val="none" w:sz="0" w:space="0" w:color="auto"/>
                <w:right w:val="none" w:sz="0" w:space="0" w:color="auto"/>
              </w:divBdr>
              <w:divsChild>
                <w:div w:id="673000284">
                  <w:marLeft w:val="0"/>
                  <w:marRight w:val="0"/>
                  <w:marTop w:val="0"/>
                  <w:marBottom w:val="0"/>
                  <w:divBdr>
                    <w:top w:val="none" w:sz="0" w:space="0" w:color="auto"/>
                    <w:left w:val="none" w:sz="0" w:space="0" w:color="auto"/>
                    <w:bottom w:val="none" w:sz="0" w:space="0" w:color="auto"/>
                    <w:right w:val="none" w:sz="0" w:space="0" w:color="auto"/>
                  </w:divBdr>
                  <w:divsChild>
                    <w:div w:id="1355109336">
                      <w:marLeft w:val="0"/>
                      <w:marRight w:val="0"/>
                      <w:marTop w:val="0"/>
                      <w:marBottom w:val="480"/>
                      <w:divBdr>
                        <w:top w:val="none" w:sz="0" w:space="0" w:color="auto"/>
                        <w:left w:val="none" w:sz="0" w:space="0" w:color="auto"/>
                        <w:bottom w:val="none" w:sz="0" w:space="0" w:color="auto"/>
                        <w:right w:val="none" w:sz="0" w:space="0" w:color="auto"/>
                      </w:divBdr>
                      <w:divsChild>
                        <w:div w:id="752477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2807989">
      <w:bodyDiv w:val="1"/>
      <w:marLeft w:val="0"/>
      <w:marRight w:val="0"/>
      <w:marTop w:val="0"/>
      <w:marBottom w:val="0"/>
      <w:divBdr>
        <w:top w:val="none" w:sz="0" w:space="0" w:color="auto"/>
        <w:left w:val="none" w:sz="0" w:space="0" w:color="auto"/>
        <w:bottom w:val="none" w:sz="0" w:space="0" w:color="auto"/>
        <w:right w:val="none" w:sz="0" w:space="0" w:color="auto"/>
      </w:divBdr>
      <w:divsChild>
        <w:div w:id="1216357768">
          <w:marLeft w:val="0"/>
          <w:marRight w:val="0"/>
          <w:marTop w:val="0"/>
          <w:marBottom w:val="0"/>
          <w:divBdr>
            <w:top w:val="none" w:sz="0" w:space="0" w:color="auto"/>
            <w:left w:val="none" w:sz="0" w:space="0" w:color="auto"/>
            <w:bottom w:val="none" w:sz="0" w:space="0" w:color="auto"/>
            <w:right w:val="none" w:sz="0" w:space="0" w:color="auto"/>
          </w:divBdr>
          <w:divsChild>
            <w:div w:id="1275677920">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sChild>
                    <w:div w:id="1858890036">
                      <w:marLeft w:val="0"/>
                      <w:marRight w:val="0"/>
                      <w:marTop w:val="0"/>
                      <w:marBottom w:val="0"/>
                      <w:divBdr>
                        <w:top w:val="none" w:sz="0" w:space="0" w:color="auto"/>
                        <w:left w:val="none" w:sz="0" w:space="0" w:color="auto"/>
                        <w:bottom w:val="none" w:sz="0" w:space="0" w:color="auto"/>
                        <w:right w:val="none" w:sz="0" w:space="0" w:color="auto"/>
                      </w:divBdr>
                      <w:divsChild>
                        <w:div w:id="681207958">
                          <w:marLeft w:val="0"/>
                          <w:marRight w:val="0"/>
                          <w:marTop w:val="0"/>
                          <w:marBottom w:val="0"/>
                          <w:divBdr>
                            <w:top w:val="none" w:sz="0" w:space="0" w:color="auto"/>
                            <w:left w:val="none" w:sz="0" w:space="0" w:color="auto"/>
                            <w:bottom w:val="none" w:sz="0" w:space="0" w:color="auto"/>
                            <w:right w:val="none" w:sz="0" w:space="0" w:color="auto"/>
                          </w:divBdr>
                          <w:divsChild>
                            <w:div w:id="7671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423</Words>
  <Characters>2330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Macarena Spoerer</dc:creator>
  <cp:lastModifiedBy>Macarena Spoerer</cp:lastModifiedBy>
  <cp:revision>2</cp:revision>
  <dcterms:created xsi:type="dcterms:W3CDTF">2012-09-12T19:34:00Z</dcterms:created>
  <dcterms:modified xsi:type="dcterms:W3CDTF">2012-09-13T11:50:00Z</dcterms:modified>
</cp:coreProperties>
</file>